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FC" w:rsidRDefault="00193522">
      <w:pPr>
        <w:jc w:val="center"/>
        <w:rPr>
          <w:rFonts w:ascii="楷体" w:eastAsia="楷体" w:hAnsi="楷体"/>
          <w:b/>
          <w:sz w:val="28"/>
          <w:szCs w:val="28"/>
        </w:rPr>
      </w:pPr>
      <w:r>
        <w:rPr>
          <w:rFonts w:ascii="楷体" w:eastAsia="楷体" w:hAnsi="楷体" w:hint="eastAsia"/>
          <w:noProof/>
          <w:sz w:val="28"/>
          <w:szCs w:val="28"/>
        </w:rPr>
        <w:drawing>
          <wp:anchor distT="0" distB="0" distL="0" distR="0" simplePos="0" relativeHeight="2" behindDoc="1" locked="0" layoutInCell="1" allowOverlap="1">
            <wp:simplePos x="0" y="0"/>
            <wp:positionH relativeFrom="margin">
              <wp:align>right</wp:align>
            </wp:positionH>
            <wp:positionV relativeFrom="paragraph">
              <wp:posOffset>-171767</wp:posOffset>
            </wp:positionV>
            <wp:extent cx="2305050" cy="2628900"/>
            <wp:effectExtent l="0" t="0" r="0" b="0"/>
            <wp:wrapNone/>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6" cstate="print"/>
                    <a:srcRect/>
                    <a:stretch/>
                  </pic:blipFill>
                  <pic:spPr>
                    <a:xfrm>
                      <a:off x="0" y="0"/>
                      <a:ext cx="2305050" cy="2628900"/>
                    </a:xfrm>
                    <a:prstGeom prst="rect">
                      <a:avLst/>
                    </a:prstGeom>
                  </pic:spPr>
                </pic:pic>
              </a:graphicData>
            </a:graphic>
          </wp:anchor>
        </w:drawing>
      </w:r>
      <w:r>
        <w:rPr>
          <w:rFonts w:ascii="楷体" w:eastAsia="楷体" w:hAnsi="楷体" w:hint="eastAsia"/>
          <w:b/>
          <w:sz w:val="28"/>
          <w:szCs w:val="28"/>
        </w:rPr>
        <w:t>杨百寅教授</w:t>
      </w:r>
      <w:r>
        <w:rPr>
          <w:rFonts w:ascii="楷体" w:eastAsia="楷体" w:hAnsi="楷体" w:hint="eastAsia"/>
          <w:b/>
          <w:sz w:val="28"/>
          <w:szCs w:val="28"/>
        </w:rPr>
        <w:t>(</w:t>
      </w:r>
      <w:r>
        <w:rPr>
          <w:rFonts w:ascii="楷体" w:eastAsia="楷体" w:hAnsi="楷体" w:hint="eastAsia"/>
          <w:b/>
          <w:sz w:val="28"/>
          <w:szCs w:val="28"/>
        </w:rPr>
        <w:t>清华大学</w:t>
      </w:r>
      <w:r>
        <w:rPr>
          <w:rFonts w:ascii="楷体" w:eastAsia="楷体" w:hAnsi="楷体" w:hint="eastAsia"/>
          <w:b/>
          <w:sz w:val="28"/>
          <w:szCs w:val="28"/>
        </w:rPr>
        <w:t>)</w:t>
      </w:r>
      <w:r>
        <w:rPr>
          <w:rFonts w:ascii="楷体" w:eastAsia="楷体" w:hAnsi="楷体" w:hint="eastAsia"/>
          <w:b/>
          <w:sz w:val="28"/>
          <w:szCs w:val="28"/>
        </w:rPr>
        <w:t>学术讲座</w:t>
      </w:r>
    </w:p>
    <w:p w:rsidR="008773FC" w:rsidRDefault="00193522">
      <w:pPr>
        <w:rPr>
          <w:rFonts w:ascii="楷体" w:eastAsia="楷体" w:hAnsi="楷体"/>
          <w:sz w:val="28"/>
          <w:szCs w:val="28"/>
        </w:rPr>
      </w:pPr>
      <w:r>
        <w:rPr>
          <w:rFonts w:ascii="楷体" w:eastAsia="楷体" w:hAnsi="楷体" w:hint="eastAsia"/>
          <w:b/>
          <w:sz w:val="28"/>
          <w:szCs w:val="28"/>
        </w:rPr>
        <w:t>讲座题目</w:t>
      </w:r>
      <w:r>
        <w:rPr>
          <w:rFonts w:ascii="楷体" w:eastAsia="楷体" w:hAnsi="楷体" w:hint="eastAsia"/>
          <w:sz w:val="28"/>
          <w:szCs w:val="28"/>
        </w:rPr>
        <w:t>：知识整体论及其管理学意义</w:t>
      </w:r>
    </w:p>
    <w:p w:rsidR="008773FC" w:rsidRDefault="00193522">
      <w:pPr>
        <w:rPr>
          <w:rFonts w:ascii="楷体" w:eastAsia="楷体" w:hAnsi="楷体"/>
          <w:sz w:val="28"/>
          <w:szCs w:val="28"/>
        </w:rPr>
      </w:pPr>
      <w:r>
        <w:rPr>
          <w:rFonts w:ascii="楷体" w:eastAsia="楷体" w:hAnsi="楷体" w:hint="eastAsia"/>
          <w:b/>
          <w:sz w:val="28"/>
          <w:szCs w:val="28"/>
        </w:rPr>
        <w:t>报告人</w:t>
      </w:r>
      <w:r>
        <w:rPr>
          <w:rFonts w:ascii="楷体" w:eastAsia="楷体" w:hAnsi="楷体" w:hint="eastAsia"/>
          <w:sz w:val="28"/>
          <w:szCs w:val="28"/>
        </w:rPr>
        <w:t>：杨百寅教授</w:t>
      </w:r>
      <w:r>
        <w:rPr>
          <w:rFonts w:ascii="楷体" w:eastAsia="楷体" w:hAnsi="楷体" w:hint="eastAsia"/>
          <w:sz w:val="28"/>
          <w:szCs w:val="28"/>
        </w:rPr>
        <w:t xml:space="preserve"> </w:t>
      </w:r>
      <w:r>
        <w:rPr>
          <w:rFonts w:ascii="楷体" w:eastAsia="楷体" w:hAnsi="楷体" w:hint="eastAsia"/>
          <w:sz w:val="28"/>
          <w:szCs w:val="28"/>
        </w:rPr>
        <w:t>（清华大学经济管理学院）</w:t>
      </w:r>
    </w:p>
    <w:p w:rsidR="008773FC" w:rsidRDefault="00193522">
      <w:pPr>
        <w:rPr>
          <w:rFonts w:ascii="楷体" w:eastAsia="楷体" w:hAnsi="楷体"/>
          <w:sz w:val="28"/>
          <w:szCs w:val="28"/>
        </w:rPr>
      </w:pPr>
      <w:r>
        <w:rPr>
          <w:rFonts w:ascii="楷体" w:eastAsia="楷体" w:hAnsi="楷体" w:hint="eastAsia"/>
          <w:b/>
          <w:sz w:val="28"/>
          <w:szCs w:val="28"/>
        </w:rPr>
        <w:t>讲座时间</w:t>
      </w:r>
      <w:r>
        <w:rPr>
          <w:rFonts w:ascii="楷体" w:eastAsia="楷体" w:hAnsi="楷体" w:hint="eastAsia"/>
          <w:sz w:val="28"/>
          <w:szCs w:val="28"/>
        </w:rPr>
        <w:t>：</w:t>
      </w:r>
      <w:r>
        <w:rPr>
          <w:rFonts w:ascii="楷体" w:eastAsia="楷体" w:hAnsi="楷体" w:hint="eastAsia"/>
          <w:sz w:val="28"/>
          <w:szCs w:val="28"/>
        </w:rPr>
        <w:t>2017</w:t>
      </w:r>
      <w:r>
        <w:rPr>
          <w:rFonts w:ascii="楷体" w:eastAsia="楷体" w:hAnsi="楷体" w:hint="eastAsia"/>
          <w:sz w:val="28"/>
          <w:szCs w:val="28"/>
        </w:rPr>
        <w:t>年</w:t>
      </w:r>
      <w:r>
        <w:rPr>
          <w:rFonts w:ascii="楷体" w:eastAsia="楷体" w:hAnsi="楷体" w:hint="eastAsia"/>
          <w:sz w:val="28"/>
          <w:szCs w:val="28"/>
        </w:rPr>
        <w:t>5</w:t>
      </w:r>
      <w:r>
        <w:rPr>
          <w:rFonts w:ascii="楷体" w:eastAsia="楷体" w:hAnsi="楷体" w:hint="eastAsia"/>
          <w:sz w:val="28"/>
          <w:szCs w:val="28"/>
        </w:rPr>
        <w:t>月</w:t>
      </w:r>
      <w:r>
        <w:rPr>
          <w:rFonts w:ascii="楷体" w:eastAsia="楷体" w:hAnsi="楷体" w:hint="eastAsia"/>
          <w:sz w:val="28"/>
          <w:szCs w:val="28"/>
        </w:rPr>
        <w:t>12</w:t>
      </w:r>
      <w:r>
        <w:rPr>
          <w:rFonts w:ascii="楷体" w:eastAsia="楷体" w:hAnsi="楷体" w:hint="eastAsia"/>
          <w:sz w:val="28"/>
          <w:szCs w:val="28"/>
        </w:rPr>
        <w:t>日下午</w:t>
      </w:r>
      <w:r>
        <w:rPr>
          <w:rFonts w:ascii="楷体" w:eastAsia="楷体" w:hAnsi="楷体" w:hint="eastAsia"/>
          <w:sz w:val="28"/>
          <w:szCs w:val="28"/>
        </w:rPr>
        <w:t>15:00-1700</w:t>
      </w:r>
    </w:p>
    <w:p w:rsidR="008773FC" w:rsidRDefault="00193522">
      <w:pPr>
        <w:rPr>
          <w:rFonts w:ascii="楷体" w:eastAsia="楷体" w:hAnsi="楷体"/>
          <w:sz w:val="28"/>
          <w:szCs w:val="28"/>
        </w:rPr>
      </w:pPr>
      <w:r>
        <w:rPr>
          <w:rFonts w:ascii="楷体" w:eastAsia="楷体" w:hAnsi="楷体" w:hint="eastAsia"/>
          <w:b/>
          <w:sz w:val="28"/>
          <w:szCs w:val="28"/>
        </w:rPr>
        <w:t>讲座地点</w:t>
      </w:r>
      <w:r>
        <w:rPr>
          <w:rFonts w:ascii="楷体" w:eastAsia="楷体" w:hAnsi="楷体" w:hint="eastAsia"/>
          <w:sz w:val="28"/>
          <w:szCs w:val="28"/>
        </w:rPr>
        <w:t>：经管学院</w:t>
      </w:r>
      <w:r>
        <w:rPr>
          <w:rFonts w:ascii="楷体" w:eastAsia="楷体" w:hAnsi="楷体" w:hint="eastAsia"/>
          <w:sz w:val="28"/>
          <w:szCs w:val="28"/>
        </w:rPr>
        <w:t>704</w:t>
      </w:r>
      <w:bookmarkStart w:id="0" w:name="_GoBack"/>
      <w:bookmarkEnd w:id="0"/>
    </w:p>
    <w:p w:rsidR="008773FC" w:rsidRDefault="00193522">
      <w:pPr>
        <w:rPr>
          <w:rFonts w:ascii="楷体" w:eastAsia="楷体" w:hAnsi="楷体"/>
          <w:sz w:val="28"/>
          <w:szCs w:val="28"/>
        </w:rPr>
      </w:pPr>
      <w:r>
        <w:rPr>
          <w:rFonts w:ascii="楷体" w:eastAsia="楷体" w:hAnsi="楷体" w:hint="eastAsia"/>
          <w:b/>
          <w:sz w:val="28"/>
          <w:szCs w:val="28"/>
        </w:rPr>
        <w:t>演讲者简介</w:t>
      </w:r>
      <w:r>
        <w:rPr>
          <w:rFonts w:ascii="楷体" w:eastAsia="楷体" w:hAnsi="楷体" w:hint="eastAsia"/>
          <w:sz w:val="28"/>
          <w:szCs w:val="28"/>
        </w:rPr>
        <w:t>：</w:t>
      </w:r>
      <w:r>
        <w:rPr>
          <w:rFonts w:ascii="楷体" w:eastAsia="楷体" w:hAnsi="楷体" w:hint="eastAsia"/>
          <w:sz w:val="28"/>
          <w:szCs w:val="28"/>
        </w:rPr>
        <w:t xml:space="preserve"> </w:t>
      </w:r>
    </w:p>
    <w:p w:rsidR="008773FC" w:rsidRDefault="00193522">
      <w:pPr>
        <w:rPr>
          <w:rFonts w:ascii="楷体" w:eastAsia="楷体" w:hAnsi="楷体"/>
          <w:sz w:val="28"/>
          <w:szCs w:val="28"/>
        </w:rPr>
      </w:pPr>
      <w:r>
        <w:rPr>
          <w:rFonts w:ascii="楷体" w:eastAsia="楷体" w:hAnsi="楷体" w:hint="eastAsia"/>
          <w:sz w:val="28"/>
          <w:szCs w:val="28"/>
        </w:rPr>
        <w:t xml:space="preserve">  </w:t>
      </w:r>
      <w:r>
        <w:rPr>
          <w:rFonts w:ascii="楷体" w:eastAsia="楷体" w:hAnsi="楷体" w:hint="eastAsia"/>
          <w:sz w:val="28"/>
          <w:szCs w:val="28"/>
        </w:rPr>
        <w:t>杨百寅博士，江苏省常熟市人，清华大学经济管理学院伟创力讲席教授、领导力与组织管理系主任。杨百寅教授是国家“千人计划”入选者，教育部长江学者特聘教授，国家杰出青年科学基金获得者。他的主要研究方向为：知识整体理论，创造力与组织创新，个人与组织的学习，领导力开发</w:t>
      </w:r>
      <w:r>
        <w:rPr>
          <w:rFonts w:ascii="楷体" w:eastAsia="楷体" w:hAnsi="楷体" w:hint="eastAsia"/>
          <w:sz w:val="28"/>
          <w:szCs w:val="28"/>
        </w:rPr>
        <w:t>，以及中西文化与管理理念等。他曾荣获国际人力资源开发学会的“杰出学者奖”，他的关于知识整体理论的论文获得（国际）〖人力资源开发评论〗</w:t>
      </w:r>
      <w:r>
        <w:rPr>
          <w:rFonts w:ascii="楷体" w:eastAsia="楷体" w:hAnsi="楷体" w:hint="eastAsia"/>
          <w:sz w:val="28"/>
          <w:szCs w:val="28"/>
        </w:rPr>
        <w:t>2003</w:t>
      </w:r>
      <w:r>
        <w:rPr>
          <w:rFonts w:ascii="楷体" w:eastAsia="楷体" w:hAnsi="楷体" w:hint="eastAsia"/>
          <w:sz w:val="28"/>
          <w:szCs w:val="28"/>
        </w:rPr>
        <w:t>年度的最佳论文奖，他的关于中国式领导和高管团队有效性的论文获得</w:t>
      </w:r>
      <w:r>
        <w:rPr>
          <w:rFonts w:ascii="楷体" w:eastAsia="楷体" w:hAnsi="楷体" w:hint="eastAsia"/>
          <w:sz w:val="28"/>
          <w:szCs w:val="28"/>
        </w:rPr>
        <w:t>2010</w:t>
      </w:r>
      <w:r>
        <w:rPr>
          <w:rFonts w:ascii="楷体" w:eastAsia="楷体" w:hAnsi="楷体" w:hint="eastAsia"/>
          <w:sz w:val="28"/>
          <w:szCs w:val="28"/>
        </w:rPr>
        <w:t>年度国际管理学会的奖励，另外他有多篇学术论文获得国际研讨会的最佳论文奖。他曾任〖人力资源开发季刊〗（国际</w:t>
      </w:r>
      <w:r>
        <w:rPr>
          <w:rFonts w:ascii="楷体" w:eastAsia="楷体" w:hAnsi="楷体"/>
          <w:sz w:val="28"/>
          <w:szCs w:val="28"/>
        </w:rPr>
        <w:t>SSCI</w:t>
      </w:r>
      <w:r>
        <w:rPr>
          <w:rFonts w:ascii="楷体" w:eastAsia="楷体" w:hAnsi="楷体" w:hint="eastAsia"/>
          <w:sz w:val="28"/>
          <w:szCs w:val="28"/>
        </w:rPr>
        <w:t>收录）主编，现任〖国际人力资源开发〗，〖成人教育季刊〗和其它多家学术期刊的编委。杨百寅教授于</w:t>
      </w:r>
      <w:r>
        <w:rPr>
          <w:rFonts w:ascii="楷体" w:eastAsia="楷体" w:hAnsi="楷体" w:hint="eastAsia"/>
          <w:sz w:val="28"/>
          <w:szCs w:val="28"/>
        </w:rPr>
        <w:t>1982</w:t>
      </w:r>
      <w:r>
        <w:rPr>
          <w:rFonts w:ascii="楷体" w:eastAsia="楷体" w:hAnsi="楷体" w:hint="eastAsia"/>
          <w:sz w:val="28"/>
          <w:szCs w:val="28"/>
        </w:rPr>
        <w:t>年毕业于南京大学数学系，获学士学位；后就职于中国科学院人事教育部门；</w:t>
      </w:r>
      <w:r>
        <w:rPr>
          <w:rFonts w:ascii="楷体" w:eastAsia="楷体" w:hAnsi="楷体" w:hint="eastAsia"/>
          <w:sz w:val="28"/>
          <w:szCs w:val="28"/>
        </w:rPr>
        <w:t>1996</w:t>
      </w:r>
      <w:r>
        <w:rPr>
          <w:rFonts w:ascii="楷体" w:eastAsia="楷体" w:hAnsi="楷体" w:hint="eastAsia"/>
          <w:sz w:val="28"/>
          <w:szCs w:val="28"/>
        </w:rPr>
        <w:t>年获（美国）乔</w:t>
      </w:r>
      <w:r>
        <w:rPr>
          <w:rFonts w:ascii="楷体" w:eastAsia="楷体" w:hAnsi="楷体" w:hint="eastAsia"/>
          <w:sz w:val="28"/>
          <w:szCs w:val="28"/>
        </w:rPr>
        <w:t>治亚大学（</w:t>
      </w:r>
      <w:r>
        <w:rPr>
          <w:rFonts w:ascii="Times New Roman" w:eastAsia="楷体" w:hAnsi="Times New Roman"/>
          <w:sz w:val="28"/>
          <w:szCs w:val="28"/>
        </w:rPr>
        <w:t>University of Georgia</w:t>
      </w:r>
      <w:r>
        <w:rPr>
          <w:rFonts w:ascii="楷体" w:eastAsia="楷体" w:hAnsi="楷体" w:hint="eastAsia"/>
          <w:sz w:val="28"/>
          <w:szCs w:val="28"/>
        </w:rPr>
        <w:t>）的人力资源开发博士学位。在回国任教之前，杨百寅博士曾先后任教于美国的奥本大学</w:t>
      </w:r>
      <w:r>
        <w:rPr>
          <w:rFonts w:ascii="楷体" w:eastAsia="楷体" w:hAnsi="楷体" w:hint="eastAsia"/>
          <w:sz w:val="28"/>
          <w:szCs w:val="28"/>
        </w:rPr>
        <w:t>(</w:t>
      </w:r>
      <w:r>
        <w:rPr>
          <w:rFonts w:ascii="Times New Roman" w:eastAsia="楷体" w:hAnsi="Times New Roman"/>
          <w:sz w:val="28"/>
          <w:szCs w:val="28"/>
        </w:rPr>
        <w:t>Auburn University</w:t>
      </w:r>
      <w:r>
        <w:rPr>
          <w:rFonts w:ascii="楷体" w:eastAsia="楷体" w:hAnsi="楷体" w:hint="eastAsia"/>
          <w:sz w:val="28"/>
          <w:szCs w:val="28"/>
        </w:rPr>
        <w:t>)</w:t>
      </w:r>
      <w:r>
        <w:rPr>
          <w:rFonts w:ascii="楷体" w:eastAsia="楷体" w:hAnsi="楷体" w:hint="eastAsia"/>
          <w:sz w:val="28"/>
          <w:szCs w:val="28"/>
        </w:rPr>
        <w:t>，爱达荷大学</w:t>
      </w:r>
      <w:r>
        <w:rPr>
          <w:rFonts w:ascii="楷体" w:eastAsia="楷体" w:hAnsi="楷体" w:hint="eastAsia"/>
          <w:sz w:val="28"/>
          <w:szCs w:val="28"/>
        </w:rPr>
        <w:t>(</w:t>
      </w:r>
      <w:r>
        <w:rPr>
          <w:rFonts w:ascii="Times New Roman" w:eastAsia="楷体" w:hAnsi="Times New Roman"/>
          <w:sz w:val="28"/>
          <w:szCs w:val="28"/>
        </w:rPr>
        <w:t>University of Idaho</w:t>
      </w:r>
      <w:r>
        <w:rPr>
          <w:rFonts w:ascii="楷体" w:eastAsia="楷体" w:hAnsi="楷体" w:hint="eastAsia"/>
          <w:sz w:val="28"/>
          <w:szCs w:val="28"/>
        </w:rPr>
        <w:t>)</w:t>
      </w:r>
      <w:r>
        <w:rPr>
          <w:rFonts w:ascii="楷体" w:eastAsia="楷体" w:hAnsi="楷体" w:hint="eastAsia"/>
          <w:sz w:val="28"/>
          <w:szCs w:val="28"/>
        </w:rPr>
        <w:t>和明尼苏达大学</w:t>
      </w:r>
      <w:r>
        <w:rPr>
          <w:rFonts w:ascii="楷体" w:eastAsia="楷体" w:hAnsi="楷体" w:hint="eastAsia"/>
          <w:sz w:val="28"/>
          <w:szCs w:val="28"/>
        </w:rPr>
        <w:t>(</w:t>
      </w:r>
      <w:r>
        <w:rPr>
          <w:rFonts w:ascii="Times New Roman" w:eastAsia="楷体" w:hAnsi="Times New Roman"/>
          <w:sz w:val="28"/>
          <w:szCs w:val="28"/>
        </w:rPr>
        <w:t>University of Minnesota</w:t>
      </w:r>
      <w:r>
        <w:rPr>
          <w:rFonts w:ascii="楷体" w:eastAsia="楷体" w:hAnsi="楷体" w:hint="eastAsia"/>
          <w:sz w:val="28"/>
          <w:szCs w:val="28"/>
        </w:rPr>
        <w:t>)</w:t>
      </w:r>
      <w:r>
        <w:rPr>
          <w:rFonts w:ascii="楷体" w:eastAsia="楷体" w:hAnsi="楷体" w:hint="eastAsia"/>
          <w:sz w:val="28"/>
          <w:szCs w:val="28"/>
        </w:rPr>
        <w:t>，并被爱达荷大学和明尼苏达大学授予终身教授。</w:t>
      </w:r>
    </w:p>
    <w:p w:rsidR="008773FC" w:rsidRDefault="008773FC">
      <w:pPr>
        <w:rPr>
          <w:rFonts w:ascii="楷体" w:eastAsia="楷体" w:hAnsi="楷体"/>
          <w:sz w:val="28"/>
          <w:szCs w:val="28"/>
        </w:rPr>
      </w:pPr>
    </w:p>
    <w:p w:rsidR="008773FC" w:rsidRDefault="008773FC">
      <w:pPr>
        <w:rPr>
          <w:rFonts w:ascii="楷体" w:eastAsia="楷体" w:hAnsi="楷体"/>
          <w:sz w:val="28"/>
          <w:szCs w:val="28"/>
        </w:rPr>
      </w:pPr>
    </w:p>
    <w:p w:rsidR="008773FC" w:rsidRDefault="008773FC">
      <w:pPr>
        <w:rPr>
          <w:rFonts w:ascii="楷体" w:eastAsia="楷体" w:hAnsi="楷体"/>
          <w:sz w:val="28"/>
          <w:szCs w:val="28"/>
        </w:rPr>
      </w:pPr>
    </w:p>
    <w:p w:rsidR="008773FC" w:rsidRDefault="00193522">
      <w:pPr>
        <w:rPr>
          <w:rFonts w:ascii="楷体" w:eastAsia="楷体" w:hAnsi="楷体"/>
          <w:sz w:val="28"/>
          <w:szCs w:val="28"/>
        </w:rPr>
      </w:pPr>
      <w:r>
        <w:rPr>
          <w:rFonts w:ascii="楷体" w:eastAsia="楷体" w:hAnsi="楷体" w:hint="eastAsia"/>
          <w:b/>
          <w:sz w:val="28"/>
          <w:szCs w:val="28"/>
        </w:rPr>
        <w:t>摘</w:t>
      </w:r>
      <w:r>
        <w:rPr>
          <w:rFonts w:ascii="楷体" w:eastAsia="楷体" w:hAnsi="楷体" w:hint="eastAsia"/>
          <w:b/>
          <w:sz w:val="28"/>
          <w:szCs w:val="28"/>
        </w:rPr>
        <w:t xml:space="preserve">  </w:t>
      </w:r>
      <w:r>
        <w:rPr>
          <w:rFonts w:ascii="楷体" w:eastAsia="楷体" w:hAnsi="楷体" w:hint="eastAsia"/>
          <w:b/>
          <w:sz w:val="28"/>
          <w:szCs w:val="28"/>
        </w:rPr>
        <w:t>要：</w:t>
      </w:r>
      <w:r>
        <w:rPr>
          <w:rFonts w:ascii="楷体" w:eastAsia="楷体" w:hAnsi="楷体" w:hint="eastAsia"/>
          <w:sz w:val="28"/>
          <w:szCs w:val="28"/>
        </w:rPr>
        <w:t>社会科学的根本任务在于正确地认识、理解、解释乃至引导和控制人与社会的行为。尽管许多学科从认识论出发探索人类学习与行为的关系，知识的内在本质及其和行为的关系鲜有系统的</w:t>
      </w:r>
      <w:r>
        <w:rPr>
          <w:rFonts w:ascii="楷体" w:eastAsia="楷体" w:hAnsi="楷体" w:hint="eastAsia"/>
          <w:sz w:val="28"/>
          <w:szCs w:val="28"/>
        </w:rPr>
        <w:t>探讨和整理。作者在当代</w:t>
      </w:r>
      <w:r>
        <w:rPr>
          <w:rFonts w:ascii="楷体" w:eastAsia="楷体" w:hAnsi="楷体"/>
          <w:sz w:val="28"/>
          <w:szCs w:val="28"/>
        </w:rPr>
        <w:t>哲学家</w:t>
      </w:r>
      <w:r>
        <w:rPr>
          <w:rFonts w:ascii="楷体" w:eastAsia="楷体" w:hAnsi="楷体" w:hint="eastAsia"/>
          <w:sz w:val="28"/>
          <w:szCs w:val="28"/>
        </w:rPr>
        <w:t>哈贝马斯（</w:t>
      </w:r>
      <w:r>
        <w:rPr>
          <w:rFonts w:ascii="Times New Roman" w:eastAsia="楷体" w:hAnsi="Times New Roman"/>
          <w:sz w:val="28"/>
          <w:szCs w:val="28"/>
        </w:rPr>
        <w:t>Jürgen Habermas</w:t>
      </w:r>
      <w:r>
        <w:rPr>
          <w:rFonts w:ascii="楷体" w:eastAsia="楷体" w:hAnsi="楷体" w:hint="eastAsia"/>
          <w:sz w:val="28"/>
          <w:szCs w:val="28"/>
        </w:rPr>
        <w:t>）关于知识和人类利益</w:t>
      </w:r>
      <w:r>
        <w:rPr>
          <w:rFonts w:ascii="Times New Roman" w:eastAsia="楷体" w:hAnsi="Times New Roman"/>
          <w:sz w:val="28"/>
          <w:szCs w:val="28"/>
        </w:rPr>
        <w:t>（</w:t>
      </w:r>
      <w:r>
        <w:rPr>
          <w:rFonts w:ascii="Times New Roman" w:eastAsia="楷体" w:hAnsi="Times New Roman"/>
          <w:sz w:val="28"/>
          <w:szCs w:val="28"/>
        </w:rPr>
        <w:t>Knowledge and Human Interests</w:t>
      </w:r>
      <w:r>
        <w:rPr>
          <w:rFonts w:ascii="楷体" w:eastAsia="楷体" w:hAnsi="楷体" w:hint="eastAsia"/>
          <w:sz w:val="28"/>
          <w:szCs w:val="28"/>
        </w:rPr>
        <w:t>，亦翻译为“知识和人类旨趣”）的理论基础上，结合</w:t>
      </w:r>
      <w:r>
        <w:rPr>
          <w:rFonts w:ascii="楷体" w:eastAsia="楷体" w:hAnsi="楷体"/>
          <w:sz w:val="28"/>
          <w:szCs w:val="28"/>
        </w:rPr>
        <w:t>明代哲学家王阳明的心学理论</w:t>
      </w:r>
      <w:r>
        <w:rPr>
          <w:rFonts w:ascii="楷体" w:eastAsia="楷体" w:hAnsi="楷体" w:hint="eastAsia"/>
          <w:sz w:val="28"/>
          <w:szCs w:val="28"/>
        </w:rPr>
        <w:t>，提出知识整体理论。该理论认为人类的知识由三个层面（感性、理性与活性）以及三个层次（知识表现、基础和动力）组成，个人、组织和社会的成长与发展是由理性（</w:t>
      </w:r>
      <w:r>
        <w:rPr>
          <w:rFonts w:ascii="Times New Roman" w:eastAsia="楷体" w:hAnsi="Times New Roman"/>
          <w:sz w:val="28"/>
          <w:szCs w:val="28"/>
        </w:rPr>
        <w:t>Rationality</w:t>
      </w:r>
      <w:r>
        <w:rPr>
          <w:rFonts w:ascii="楷体" w:eastAsia="楷体" w:hAnsi="楷体" w:hint="eastAsia"/>
          <w:sz w:val="28"/>
          <w:szCs w:val="28"/>
        </w:rPr>
        <w:t>）、现实</w:t>
      </w:r>
      <w:r>
        <w:rPr>
          <w:rFonts w:ascii="楷体" w:eastAsia="楷体" w:hAnsi="楷体" w:hint="eastAsia"/>
          <w:sz w:val="28"/>
          <w:szCs w:val="28"/>
        </w:rPr>
        <w:t>(</w:t>
      </w:r>
      <w:r>
        <w:rPr>
          <w:rFonts w:ascii="Times New Roman" w:eastAsia="楷体" w:hAnsi="Times New Roman"/>
          <w:sz w:val="28"/>
          <w:szCs w:val="28"/>
        </w:rPr>
        <w:t>Reality</w:t>
      </w:r>
      <w:r>
        <w:rPr>
          <w:rFonts w:ascii="楷体" w:eastAsia="楷体" w:hAnsi="楷体" w:hint="eastAsia"/>
          <w:sz w:val="28"/>
          <w:szCs w:val="28"/>
        </w:rPr>
        <w:t>)</w:t>
      </w:r>
      <w:r>
        <w:rPr>
          <w:rFonts w:ascii="楷体" w:eastAsia="楷体" w:hAnsi="楷体" w:hint="eastAsia"/>
          <w:sz w:val="28"/>
          <w:szCs w:val="28"/>
        </w:rPr>
        <w:t>和自由</w:t>
      </w:r>
      <w:r>
        <w:rPr>
          <w:rFonts w:ascii="楷体" w:eastAsia="楷体" w:hAnsi="楷体" w:hint="eastAsia"/>
          <w:sz w:val="28"/>
          <w:szCs w:val="28"/>
        </w:rPr>
        <w:t>(</w:t>
      </w:r>
      <w:r>
        <w:rPr>
          <w:rFonts w:ascii="Times New Roman" w:eastAsia="楷体" w:hAnsi="Times New Roman"/>
          <w:sz w:val="28"/>
          <w:szCs w:val="28"/>
        </w:rPr>
        <w:t>Liberty</w:t>
      </w:r>
      <w:r>
        <w:rPr>
          <w:rFonts w:ascii="楷体" w:eastAsia="楷体" w:hAnsi="楷体" w:hint="eastAsia"/>
          <w:sz w:val="28"/>
          <w:szCs w:val="28"/>
        </w:rPr>
        <w:t>)</w:t>
      </w:r>
      <w:r>
        <w:rPr>
          <w:rFonts w:ascii="楷体" w:eastAsia="楷体" w:hAnsi="楷体" w:hint="eastAsia"/>
          <w:sz w:val="28"/>
          <w:szCs w:val="28"/>
        </w:rPr>
        <w:t>所推动。作者由此提出了一系列知识层面和层次之间关系的命题，推导出人类</w:t>
      </w:r>
      <w:r>
        <w:rPr>
          <w:rFonts w:ascii="楷体" w:eastAsia="楷体" w:hAnsi="楷体" w:hint="eastAsia"/>
          <w:sz w:val="28"/>
          <w:szCs w:val="28"/>
        </w:rPr>
        <w:t>知识与行为之间互动关系的假设。本报告还将探讨知识整体论与管理学不同分支的关系以及实际应用价值，包括知识管理、组织学习与学习型组织、组织行为学、组织文化、组织变革与发展、领导力开发等。作者试图抛砖引玉，期望有兴趣的学者赐予批判性和建设性的建议，共同探讨知识与行为的课题。</w:t>
      </w:r>
    </w:p>
    <w:sectPr w:rsidR="008773FC" w:rsidSect="008773F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22" w:rsidRDefault="00193522" w:rsidP="00FE478C">
      <w:r>
        <w:separator/>
      </w:r>
    </w:p>
  </w:endnote>
  <w:endnote w:type="continuationSeparator" w:id="1">
    <w:p w:rsidR="00193522" w:rsidRDefault="00193522" w:rsidP="00FE47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22" w:rsidRDefault="00193522" w:rsidP="00FE478C">
      <w:r>
        <w:separator/>
      </w:r>
    </w:p>
  </w:footnote>
  <w:footnote w:type="continuationSeparator" w:id="1">
    <w:p w:rsidR="00193522" w:rsidRDefault="00193522" w:rsidP="00FE47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3FC"/>
    <w:rsid w:val="00193522"/>
    <w:rsid w:val="008773FC"/>
    <w:rsid w:val="00FE4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73F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773FC"/>
    <w:rPr>
      <w:kern w:val="2"/>
      <w:sz w:val="18"/>
      <w:szCs w:val="18"/>
    </w:rPr>
  </w:style>
  <w:style w:type="paragraph" w:styleId="a4">
    <w:name w:val="footer"/>
    <w:basedOn w:val="a"/>
    <w:link w:val="Char0"/>
    <w:uiPriority w:val="99"/>
    <w:rsid w:val="008773FC"/>
    <w:pPr>
      <w:tabs>
        <w:tab w:val="center" w:pos="4153"/>
        <w:tab w:val="right" w:pos="8306"/>
      </w:tabs>
      <w:snapToGrid w:val="0"/>
      <w:jc w:val="left"/>
    </w:pPr>
    <w:rPr>
      <w:sz w:val="18"/>
      <w:szCs w:val="18"/>
    </w:rPr>
  </w:style>
  <w:style w:type="character" w:customStyle="1" w:styleId="Char0">
    <w:name w:val="页脚 Char"/>
    <w:link w:val="a4"/>
    <w:uiPriority w:val="99"/>
    <w:rsid w:val="008773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Baiyin Yang</dc:creator>
  <cp:lastModifiedBy>dell</cp:lastModifiedBy>
  <cp:revision>2</cp:revision>
  <dcterms:created xsi:type="dcterms:W3CDTF">2017-05-10T01:43:00Z</dcterms:created>
  <dcterms:modified xsi:type="dcterms:W3CDTF">2017-05-10T01:43:00Z</dcterms:modified>
</cp:coreProperties>
</file>